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C2" w:rsidRDefault="00F508C2" w:rsidP="00F508C2">
      <w:pPr>
        <w:pStyle w:val="sidebarhead"/>
      </w:pPr>
      <w:bookmarkStart w:id="0" w:name="_GoBack"/>
      <w:bookmarkEnd w:id="0"/>
      <w:r>
        <w:t xml:space="preserve">REFERRAL AGREEMENT </w:t>
      </w:r>
    </w:p>
    <w:p w:rsidR="00F508C2" w:rsidRDefault="00F508C2" w:rsidP="00F508C2">
      <w:pPr>
        <w:pStyle w:val="sidebarbody"/>
      </w:pPr>
      <w:r>
        <w:t>The following is a collaborative service agreement between Women’s Health and Family Medicine.</w:t>
      </w:r>
    </w:p>
    <w:p w:rsidR="00F508C2" w:rsidRDefault="00F508C2" w:rsidP="00F508C2">
      <w:pPr>
        <w:pStyle w:val="sidebarhead"/>
      </w:pPr>
      <w:r>
        <w:t>Core Services Agreements:</w:t>
      </w:r>
    </w:p>
    <w:p w:rsidR="00F508C2" w:rsidRDefault="00F508C2" w:rsidP="00F508C2">
      <w:pPr>
        <w:pStyle w:val="sidebarbody"/>
        <w:rPr>
          <w:rStyle w:val="bodyboldleadin"/>
        </w:rPr>
      </w:pPr>
      <w:r>
        <w:rPr>
          <w:rStyle w:val="bodyboldleadin"/>
        </w:rPr>
        <w:t>Women’s Health will provide the following core services:</w:t>
      </w:r>
    </w:p>
    <w:p w:rsidR="00F508C2" w:rsidRDefault="00F508C2" w:rsidP="00F508C2">
      <w:pPr>
        <w:pStyle w:val="sidebarbody"/>
      </w:pPr>
      <w:r>
        <w:t>• Prenatal care and deliveries for high-risk and low-risk patients</w:t>
      </w:r>
    </w:p>
    <w:p w:rsidR="00F508C2" w:rsidRDefault="00F508C2" w:rsidP="00F508C2">
      <w:pPr>
        <w:pStyle w:val="sidebarbody"/>
      </w:pPr>
      <w:r>
        <w:t>• Postpartum care</w:t>
      </w:r>
    </w:p>
    <w:p w:rsidR="00F508C2" w:rsidRDefault="00F508C2" w:rsidP="00F508C2">
      <w:pPr>
        <w:pStyle w:val="sidebarbody"/>
      </w:pPr>
      <w:r>
        <w:t>• All gynecological surgery</w:t>
      </w:r>
    </w:p>
    <w:p w:rsidR="00F508C2" w:rsidRDefault="00F508C2" w:rsidP="00F508C2">
      <w:pPr>
        <w:pStyle w:val="sidebarbody"/>
      </w:pPr>
      <w:r>
        <w:t>• All cancerous and pre-cancerous gynecological problems</w:t>
      </w:r>
    </w:p>
    <w:p w:rsidR="00F508C2" w:rsidRDefault="00F508C2" w:rsidP="00F508C2">
      <w:pPr>
        <w:pStyle w:val="sidebarbody"/>
      </w:pPr>
      <w:r>
        <w:t>• Infertility evaluation (male and female)</w:t>
      </w:r>
    </w:p>
    <w:p w:rsidR="00F508C2" w:rsidRDefault="00F508C2" w:rsidP="00F508C2">
      <w:pPr>
        <w:pStyle w:val="sidebarbody"/>
      </w:pPr>
      <w:r>
        <w:t>• Domestic violence assessment</w:t>
      </w:r>
    </w:p>
    <w:p w:rsidR="00F508C2" w:rsidRDefault="00F508C2" w:rsidP="00F508C2">
      <w:pPr>
        <w:pStyle w:val="sidebarbody"/>
      </w:pPr>
      <w:r>
        <w:t>• Paps/pelvics and breast exams</w:t>
      </w:r>
    </w:p>
    <w:p w:rsidR="00F508C2" w:rsidRDefault="00F508C2" w:rsidP="00F508C2">
      <w:pPr>
        <w:pStyle w:val="sidebarbody"/>
      </w:pPr>
      <w:r>
        <w:t>• Male and female sterilization</w:t>
      </w:r>
    </w:p>
    <w:p w:rsidR="00F508C2" w:rsidRDefault="00F508C2" w:rsidP="00F508C2">
      <w:pPr>
        <w:pStyle w:val="sidebarbody"/>
      </w:pPr>
      <w:r>
        <w:t>• Contraception</w:t>
      </w:r>
    </w:p>
    <w:p w:rsidR="00F508C2" w:rsidRDefault="00F508C2" w:rsidP="00F508C2">
      <w:pPr>
        <w:pStyle w:val="sidebarbody"/>
      </w:pPr>
      <w:r>
        <w:t>• Gynecological procedures</w:t>
      </w:r>
    </w:p>
    <w:p w:rsidR="00F508C2" w:rsidRDefault="00F508C2" w:rsidP="00F508C2">
      <w:pPr>
        <w:pStyle w:val="sidebarbody"/>
      </w:pPr>
      <w:r>
        <w:t>• Neonatal circumcision for all non-ASU infants and for ASU infants needing procedures on weekends, holidays or after hours</w:t>
      </w:r>
    </w:p>
    <w:p w:rsidR="00F508C2" w:rsidRDefault="00F508C2" w:rsidP="00F508C2">
      <w:pPr>
        <w:pStyle w:val="sidebarbody"/>
      </w:pPr>
      <w:r>
        <w:t>• Evaluation and care for abnormal bleeding</w:t>
      </w:r>
    </w:p>
    <w:p w:rsidR="00F508C2" w:rsidRDefault="00F508C2" w:rsidP="00F508C2">
      <w:pPr>
        <w:pStyle w:val="sidebarbody"/>
      </w:pPr>
      <w:r>
        <w:t>• Incontinence (urinary &amp; fecal)</w:t>
      </w:r>
    </w:p>
    <w:p w:rsidR="00F508C2" w:rsidRDefault="00F508C2" w:rsidP="00F508C2">
      <w:pPr>
        <w:pStyle w:val="sidebarbody"/>
        <w:rPr>
          <w:rStyle w:val="bodyboldleadin"/>
        </w:rPr>
      </w:pPr>
      <w:r>
        <w:rPr>
          <w:rStyle w:val="bodyboldleadin"/>
        </w:rPr>
        <w:t>Family Medicine will provide the following core services:</w:t>
      </w:r>
    </w:p>
    <w:p w:rsidR="00F508C2" w:rsidRDefault="00F508C2" w:rsidP="00F508C2">
      <w:pPr>
        <w:pStyle w:val="sidebarbody"/>
      </w:pPr>
      <w:r>
        <w:t>• Paps/pelvics and breast exams</w:t>
      </w:r>
    </w:p>
    <w:p w:rsidR="00F508C2" w:rsidRDefault="00F508C2" w:rsidP="00F508C2">
      <w:pPr>
        <w:pStyle w:val="sidebarbody"/>
      </w:pPr>
      <w:r>
        <w:t>• Contraception</w:t>
      </w:r>
    </w:p>
    <w:p w:rsidR="00F508C2" w:rsidRDefault="00F508C2" w:rsidP="00F508C2">
      <w:pPr>
        <w:pStyle w:val="sidebarbody"/>
      </w:pPr>
      <w:r>
        <w:t>• STD testing and counseling</w:t>
      </w:r>
    </w:p>
    <w:p w:rsidR="00F508C2" w:rsidRDefault="00F508C2" w:rsidP="00F508C2">
      <w:pPr>
        <w:pStyle w:val="sidebarbody"/>
      </w:pPr>
      <w:r>
        <w:t>• Domestic violence assessment</w:t>
      </w:r>
    </w:p>
    <w:p w:rsidR="00F508C2" w:rsidRDefault="00F508C2" w:rsidP="00F508C2">
      <w:pPr>
        <w:pStyle w:val="sidebarbody"/>
      </w:pPr>
      <w:r>
        <w:t>• Menopause care</w:t>
      </w:r>
    </w:p>
    <w:p w:rsidR="00F508C2" w:rsidRDefault="00F508C2" w:rsidP="00F508C2">
      <w:pPr>
        <w:pStyle w:val="sidebarbody"/>
      </w:pPr>
      <w:r>
        <w:t>• Menstruation care</w:t>
      </w:r>
    </w:p>
    <w:p w:rsidR="00F508C2" w:rsidRDefault="00F508C2" w:rsidP="00F508C2">
      <w:pPr>
        <w:pStyle w:val="sidebarbody"/>
      </w:pPr>
      <w:r>
        <w:t>• Low-risk prenatal care and low-risk deliveries for some patients</w:t>
      </w:r>
    </w:p>
    <w:p w:rsidR="00F508C2" w:rsidRDefault="00F508C2" w:rsidP="00F508C2">
      <w:pPr>
        <w:pStyle w:val="sidebarbody"/>
      </w:pPr>
      <w:r>
        <w:t>• Routine outpatient postpartum care</w:t>
      </w:r>
    </w:p>
    <w:p w:rsidR="00F508C2" w:rsidRDefault="00F508C2" w:rsidP="00F508C2">
      <w:pPr>
        <w:pStyle w:val="sidebarbody"/>
      </w:pPr>
      <w:r>
        <w:t>• Neonatal circumcisions for ASU patients in newborn nursery from 8 a.m to 10 a.m. on weekdays, excluding holidays</w:t>
      </w:r>
    </w:p>
    <w:p w:rsidR="00F508C2" w:rsidRDefault="00F508C2" w:rsidP="00F508C2">
      <w:pPr>
        <w:pStyle w:val="sidebarbody"/>
      </w:pPr>
      <w:r>
        <w:t>• Selected gynecological procedures as per physician’s credentialing, to include diaphragm fitting, IUD insertion and removal, Norplant insertion and removal, low-grade colposcopies and endometrial biopsy</w:t>
      </w:r>
    </w:p>
    <w:p w:rsidR="00F508C2" w:rsidRDefault="00F508C2" w:rsidP="00F508C2">
      <w:pPr>
        <w:pStyle w:val="sidebarhead"/>
      </w:pPr>
      <w:r>
        <w:t>Access Agreements:</w:t>
      </w:r>
    </w:p>
    <w:p w:rsidR="00F508C2" w:rsidRDefault="00F508C2" w:rsidP="00F508C2">
      <w:pPr>
        <w:pStyle w:val="sidebarbody"/>
        <w:rPr>
          <w:rStyle w:val="bodyboldleadin"/>
        </w:rPr>
      </w:pPr>
      <w:r>
        <w:rPr>
          <w:rStyle w:val="bodyboldleadin"/>
        </w:rPr>
        <w:t>Women’s Health will provide the following access:</w:t>
      </w:r>
    </w:p>
    <w:p w:rsidR="00F508C2" w:rsidRDefault="00F508C2" w:rsidP="00F508C2">
      <w:pPr>
        <w:pStyle w:val="sidebarbody"/>
      </w:pPr>
      <w:r>
        <w:t>• Same-day access for any emergency referrals from Family Medicine</w:t>
      </w:r>
    </w:p>
    <w:p w:rsidR="00F508C2" w:rsidRDefault="00F508C2" w:rsidP="00F508C2">
      <w:pPr>
        <w:pStyle w:val="sidebarbody"/>
      </w:pPr>
      <w:r>
        <w:lastRenderedPageBreak/>
        <w:t>• One-week access for routine referrals from Family Medicine</w:t>
      </w:r>
    </w:p>
    <w:p w:rsidR="00F508C2" w:rsidRDefault="00F508C2" w:rsidP="00F508C2">
      <w:pPr>
        <w:pStyle w:val="sidebarbody"/>
      </w:pPr>
      <w:r>
        <w:t>• A Women’s Health physician will be available during clinic hours for emergent questions, consultations and evaluations. Monthly schedules will be sent to Family Medicine with on-call doctors listed.</w:t>
      </w:r>
    </w:p>
    <w:p w:rsidR="00F508C2" w:rsidRDefault="00F508C2" w:rsidP="00F508C2">
      <w:pPr>
        <w:pStyle w:val="sidebarbody"/>
        <w:rPr>
          <w:rStyle w:val="bodyboldleadin"/>
        </w:rPr>
      </w:pPr>
      <w:r>
        <w:rPr>
          <w:rStyle w:val="bodyboldleadin"/>
        </w:rPr>
        <w:t>Family Medicine will provide the following access:</w:t>
      </w:r>
    </w:p>
    <w:p w:rsidR="00F508C2" w:rsidRDefault="00F508C2" w:rsidP="00F508C2">
      <w:pPr>
        <w:pStyle w:val="sidebarbody"/>
      </w:pPr>
      <w:r>
        <w:t>• Same-day access for any patient referred from Women’s Health</w:t>
      </w:r>
    </w:p>
    <w:p w:rsidR="00F508C2" w:rsidRDefault="00F508C2" w:rsidP="00F508C2">
      <w:pPr>
        <w:pStyle w:val="sidebarhead"/>
      </w:pPr>
      <w:r>
        <w:t xml:space="preserve">Communication Agreements: </w:t>
      </w:r>
    </w:p>
    <w:p w:rsidR="00F508C2" w:rsidRDefault="00F508C2" w:rsidP="00F508C2">
      <w:pPr>
        <w:pStyle w:val="sidebarbody"/>
      </w:pPr>
      <w:r>
        <w:t>Physicians in Women’s Health and Family Medicine will use the ANMC Referral and Consultation Form to communicate requests for services between clinics. Physicians agree to respond as requested on the referral and consultation form.</w:t>
      </w:r>
    </w:p>
    <w:p w:rsidR="00F508C2" w:rsidRDefault="00F508C2" w:rsidP="00F508C2">
      <w:pPr>
        <w:pStyle w:val="sidebarhead"/>
      </w:pPr>
      <w:r>
        <w:t xml:space="preserve">Quality Assurance Agreements: </w:t>
      </w:r>
    </w:p>
    <w:p w:rsidR="00F508C2" w:rsidRDefault="00F508C2" w:rsidP="00F508C2">
      <w:pPr>
        <w:pStyle w:val="sidebarbody"/>
      </w:pPr>
      <w:r>
        <w:t xml:space="preserve">Women’s Health and Family Medicine will establish standards of care for the provision of on-demand women’s health care. </w:t>
      </w:r>
    </w:p>
    <w:p w:rsidR="00F508C2" w:rsidRDefault="00F508C2" w:rsidP="00F508C2">
      <w:pPr>
        <w:pStyle w:val="sidebarbody"/>
      </w:pPr>
      <w:r>
        <w:t xml:space="preserve">Training and education processes will be developed based on these standards of care. </w:t>
      </w:r>
    </w:p>
    <w:p w:rsidR="00F508C2" w:rsidRDefault="00F508C2" w:rsidP="00F508C2">
      <w:pPr>
        <w:pStyle w:val="sidebarbody"/>
      </w:pPr>
      <w:r>
        <w:t>Quality assurance measures will be developed and monitored based on these standards of care.</w:t>
      </w:r>
    </w:p>
    <w:p w:rsidR="00F508C2" w:rsidRDefault="00F508C2" w:rsidP="00F508C2">
      <w:pPr>
        <w:pStyle w:val="sidebarbody"/>
      </w:pPr>
    </w:p>
    <w:p w:rsidR="00F508C2" w:rsidRDefault="00F508C2" w:rsidP="00F508C2">
      <w:pPr>
        <w:pStyle w:val="sidebarbody"/>
      </w:pPr>
    </w:p>
    <w:p w:rsidR="00F508C2" w:rsidRDefault="00F508C2" w:rsidP="00F508C2">
      <w:pPr>
        <w:pStyle w:val="sidebarbody"/>
      </w:pPr>
      <w:r>
        <w:t>___________________________________________________</w:t>
      </w:r>
    </w:p>
    <w:p w:rsidR="00F508C2" w:rsidRDefault="00F508C2" w:rsidP="00F508C2">
      <w:pPr>
        <w:pStyle w:val="sidebarbody"/>
      </w:pPr>
      <w:r>
        <w:t>Signature of Family Medicine Medical Director</w:t>
      </w:r>
    </w:p>
    <w:p w:rsidR="00F508C2" w:rsidRDefault="00F508C2" w:rsidP="00F508C2">
      <w:pPr>
        <w:pStyle w:val="sidebarbody"/>
      </w:pPr>
    </w:p>
    <w:p w:rsidR="00F508C2" w:rsidRDefault="00F508C2" w:rsidP="00F508C2">
      <w:pPr>
        <w:pStyle w:val="sidebarbody"/>
      </w:pPr>
    </w:p>
    <w:p w:rsidR="00F508C2" w:rsidRDefault="00F508C2" w:rsidP="00F508C2">
      <w:pPr>
        <w:pStyle w:val="sidebarbody"/>
      </w:pPr>
      <w:r>
        <w:t>___________________________________________________</w:t>
      </w:r>
    </w:p>
    <w:p w:rsidR="00F508C2" w:rsidRDefault="00F508C2" w:rsidP="00F508C2">
      <w:pPr>
        <w:pStyle w:val="sidebarbody"/>
      </w:pPr>
      <w:r>
        <w:t>Signature of Women’s Health Medical Director</w:t>
      </w: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
    <w:p w:rsidR="00F508C2" w:rsidRDefault="00F508C2" w:rsidP="00F508C2">
      <w:pPr>
        <w:pStyle w:val="sidebarbody"/>
      </w:pPr>
      <w:proofErr w:type="gramStart"/>
      <w:r>
        <w:t>Developed by Mark Murray, MD.</w:t>
      </w:r>
      <w:proofErr w:type="gramEnd"/>
      <w:r>
        <w:t xml:space="preserve"> </w:t>
      </w:r>
      <w:proofErr w:type="gramStart"/>
      <w:r>
        <w:t xml:space="preserve">Copyright © 2002 American </w:t>
      </w:r>
      <w:smartTag w:uri="urn:schemas-microsoft-com:office:smarttags" w:element="place">
        <w:smartTag w:uri="urn:schemas-microsoft-com:office:smarttags" w:element="PlaceType">
          <w:r>
            <w:t>Academy</w:t>
          </w:r>
        </w:smartTag>
        <w:r>
          <w:t xml:space="preserve"> of </w:t>
        </w:r>
        <w:smartTag w:uri="urn:schemas-microsoft-com:office:smarttags" w:element="PlaceName">
          <w:r>
            <w:t>Family Physicians</w:t>
          </w:r>
        </w:smartTag>
      </w:smartTag>
      <w:r>
        <w:t>.</w:t>
      </w:r>
      <w:proofErr w:type="gramEnd"/>
      <w:r>
        <w:t xml:space="preserve"> Physicians may photocopy or adapt for use in their own practices; all other rights reserved. Murray M. Reducing waits and delays in the referral process. </w:t>
      </w:r>
      <w:proofErr w:type="gramStart"/>
      <w:r>
        <w:rPr>
          <w:i/>
        </w:rPr>
        <w:t>Fam Pract Manag</w:t>
      </w:r>
      <w:r>
        <w:t>.</w:t>
      </w:r>
      <w:proofErr w:type="gramEnd"/>
      <w:r>
        <w:t xml:space="preserve"> March 2002:39-42; http://www.aafp.org/fpm/20020300/39redu.html.</w:t>
      </w:r>
    </w:p>
    <w:sectPr w:rsidR="00F508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C2"/>
    <w:rsid w:val="00E86950"/>
    <w:rsid w:val="00F5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idebarhead">
    <w:name w:val="sidebar_head"/>
    <w:basedOn w:val="Normal"/>
    <w:next w:val="sidebarbody"/>
    <w:rsid w:val="00F508C2"/>
    <w:pPr>
      <w:spacing w:before="240"/>
      <w:outlineLvl w:val="2"/>
    </w:pPr>
    <w:rPr>
      <w:rFonts w:ascii="Arial" w:hAnsi="Arial"/>
      <w:b/>
      <w:caps/>
      <w:sz w:val="20"/>
      <w:szCs w:val="20"/>
    </w:rPr>
  </w:style>
  <w:style w:type="paragraph" w:customStyle="1" w:styleId="sidebarbody">
    <w:name w:val="sidebar_body"/>
    <w:basedOn w:val="Normal"/>
    <w:rsid w:val="00F508C2"/>
    <w:pPr>
      <w:spacing w:after="120"/>
    </w:pPr>
    <w:rPr>
      <w:rFonts w:ascii="Arial" w:hAnsi="Arial"/>
      <w:sz w:val="22"/>
      <w:szCs w:val="20"/>
    </w:rPr>
  </w:style>
  <w:style w:type="character" w:customStyle="1" w:styleId="bodyboldleadin">
    <w:name w:val="body_bold_lead_in"/>
    <w:rsid w:val="00F508C2"/>
    <w:rPr>
      <w:rFonts w:ascii="Arial"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idebarhead">
    <w:name w:val="sidebar_head"/>
    <w:basedOn w:val="Normal"/>
    <w:next w:val="sidebarbody"/>
    <w:rsid w:val="00F508C2"/>
    <w:pPr>
      <w:spacing w:before="240"/>
      <w:outlineLvl w:val="2"/>
    </w:pPr>
    <w:rPr>
      <w:rFonts w:ascii="Arial" w:hAnsi="Arial"/>
      <w:b/>
      <w:caps/>
      <w:sz w:val="20"/>
      <w:szCs w:val="20"/>
    </w:rPr>
  </w:style>
  <w:style w:type="paragraph" w:customStyle="1" w:styleId="sidebarbody">
    <w:name w:val="sidebar_body"/>
    <w:basedOn w:val="Normal"/>
    <w:rsid w:val="00F508C2"/>
    <w:pPr>
      <w:spacing w:after="120"/>
    </w:pPr>
    <w:rPr>
      <w:rFonts w:ascii="Arial" w:hAnsi="Arial"/>
      <w:sz w:val="22"/>
      <w:szCs w:val="20"/>
    </w:rPr>
  </w:style>
  <w:style w:type="character" w:customStyle="1" w:styleId="bodyboldleadin">
    <w:name w:val="body_bold_lead_in"/>
    <w:rsid w:val="00F508C2"/>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REFERRAL AGREEMENT </vt:lpstr>
    </vt:vector>
  </TitlesOfParts>
  <Company>American Academy of Family Physicians</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AGREEMENT </dc:title>
  <dc:subject/>
  <dc:creator>aafp</dc:creator>
  <cp:keywords/>
  <dc:description/>
  <cp:lastModifiedBy>Bwhite</cp:lastModifiedBy>
  <cp:revision>2</cp:revision>
  <dcterms:created xsi:type="dcterms:W3CDTF">2013-04-25T16:05:00Z</dcterms:created>
  <dcterms:modified xsi:type="dcterms:W3CDTF">2013-04-25T16:05:00Z</dcterms:modified>
</cp:coreProperties>
</file>